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8B04A9">
        <w:rPr>
          <w:rFonts w:ascii="Times New Roman" w:hAnsi="Times New Roman" w:cs="Times New Roman"/>
          <w:sz w:val="24"/>
          <w:szCs w:val="24"/>
        </w:rPr>
        <w:t>на замещение вакантных</w:t>
      </w:r>
      <w:r w:rsidR="00F625FB" w:rsidRPr="000E3E9C">
        <w:rPr>
          <w:rFonts w:ascii="Times New Roman" w:hAnsi="Times New Roman" w:cs="Times New Roman"/>
          <w:sz w:val="24"/>
          <w:szCs w:val="24"/>
        </w:rPr>
        <w:t xml:space="preserve">  </w:t>
      </w:r>
      <w:r w:rsidR="008B04A9">
        <w:rPr>
          <w:rFonts w:ascii="Times New Roman" w:hAnsi="Times New Roman" w:cs="Times New Roman"/>
          <w:sz w:val="24"/>
          <w:szCs w:val="24"/>
        </w:rPr>
        <w:t>должностей</w:t>
      </w:r>
      <w:bookmarkStart w:id="0" w:name="_GoBack"/>
      <w:bookmarkEnd w:id="0"/>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F625FB" w:rsidRDefault="00103BBE" w:rsidP="00C62CA4">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637483">
        <w:rPr>
          <w:rFonts w:ascii="Times New Roman" w:hAnsi="Times New Roman" w:cs="Times New Roman"/>
          <w:b/>
          <w:sz w:val="24"/>
          <w:szCs w:val="24"/>
        </w:rPr>
        <w:t>Старший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г. Ухта</w:t>
      </w:r>
      <w:r w:rsidR="00F625FB" w:rsidRPr="00C62CA4">
        <w:rPr>
          <w:rFonts w:ascii="Times New Roman" w:hAnsi="Times New Roman" w:cs="Times New Roman"/>
          <w:sz w:val="24"/>
          <w:szCs w:val="24"/>
        </w:rPr>
        <w:t>.</w:t>
      </w:r>
      <w:proofErr w:type="gramEnd"/>
    </w:p>
    <w:p w:rsidR="00C53BCE" w:rsidRDefault="00C53BCE" w:rsidP="00C53BCE">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Государственный инспектор</w:t>
      </w:r>
      <w:r w:rsidRPr="00C53BCE">
        <w:rPr>
          <w:rFonts w:ascii="Times New Roman" w:hAnsi="Times New Roman" w:cs="Times New Roman"/>
          <w:b/>
          <w:sz w:val="24"/>
          <w:szCs w:val="24"/>
        </w:rPr>
        <w:t xml:space="preserve"> </w:t>
      </w:r>
      <w:r>
        <w:rPr>
          <w:rFonts w:ascii="Times New Roman" w:hAnsi="Times New Roman" w:cs="Times New Roman"/>
          <w:b/>
          <w:sz w:val="24"/>
          <w:szCs w:val="24"/>
        </w:rPr>
        <w:t>отдела по энергетическому надзору и надзору за гидротехническими сооружениями</w:t>
      </w:r>
      <w:r w:rsidRPr="00C62CA4">
        <w:rPr>
          <w:rFonts w:ascii="Times New Roman" w:hAnsi="Times New Roman" w:cs="Times New Roman"/>
          <w:b/>
          <w:sz w:val="24"/>
          <w:szCs w:val="24"/>
        </w:rPr>
        <w:t xml:space="preserve"> </w:t>
      </w:r>
      <w:r w:rsidRPr="00BC6810">
        <w:rPr>
          <w:rFonts w:ascii="Times New Roman" w:hAnsi="Times New Roman" w:cs="Times New Roman"/>
          <w:sz w:val="24"/>
          <w:szCs w:val="24"/>
        </w:rPr>
        <w:t>(</w:t>
      </w:r>
      <w:r w:rsidRPr="00C62CA4">
        <w:rPr>
          <w:rFonts w:ascii="Times New Roman" w:eastAsia="Calibri" w:hAnsi="Times New Roman" w:cs="Times New Roman"/>
          <w:sz w:val="24"/>
          <w:szCs w:val="24"/>
        </w:rPr>
        <w:t xml:space="preserve">контроль и надзор в сфере </w:t>
      </w:r>
      <w:r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Pr>
          <w:rFonts w:ascii="Times New Roman" w:eastAsia="Calibri" w:hAnsi="Times New Roman" w:cs="Times New Roman"/>
          <w:bCs/>
          <w:sz w:val="24"/>
          <w:szCs w:val="24"/>
          <w:lang w:eastAsia="x-none"/>
        </w:rPr>
        <w:t xml:space="preserve"> (надзор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Pr>
          <w:rFonts w:ascii="Times New Roman" w:hAnsi="Times New Roman" w:cs="Times New Roman"/>
          <w:sz w:val="24"/>
          <w:szCs w:val="24"/>
        </w:rPr>
        <w:t xml:space="preserve">), </w:t>
      </w:r>
      <w:r w:rsidRPr="00C62CA4">
        <w:rPr>
          <w:rFonts w:ascii="Times New Roman" w:hAnsi="Times New Roman" w:cs="Times New Roman"/>
          <w:sz w:val="24"/>
          <w:szCs w:val="24"/>
        </w:rPr>
        <w:t>м</w:t>
      </w:r>
      <w:r>
        <w:rPr>
          <w:rFonts w:ascii="Times New Roman" w:hAnsi="Times New Roman" w:cs="Times New Roman"/>
          <w:sz w:val="24"/>
          <w:szCs w:val="24"/>
        </w:rPr>
        <w:t>есто прохождения службы – г. Сыктывкар</w:t>
      </w:r>
      <w:r w:rsidRPr="00C62CA4">
        <w:rPr>
          <w:rFonts w:ascii="Times New Roman" w:hAnsi="Times New Roman" w:cs="Times New Roman"/>
          <w:sz w:val="24"/>
          <w:szCs w:val="24"/>
        </w:rPr>
        <w:t>.</w:t>
      </w:r>
      <w:proofErr w:type="gramEnd"/>
    </w:p>
    <w:p w:rsidR="00C53BCE" w:rsidRPr="00C62CA4" w:rsidRDefault="00C53BCE" w:rsidP="00C62CA4">
      <w:pPr>
        <w:tabs>
          <w:tab w:val="left" w:pos="709"/>
        </w:tabs>
        <w:spacing w:after="0" w:line="240" w:lineRule="auto"/>
        <w:ind w:left="-142" w:firstLine="708"/>
        <w:jc w:val="both"/>
        <w:rPr>
          <w:rFonts w:ascii="Times New Roman" w:hAnsi="Times New Roman" w:cs="Times New Roman"/>
          <w:sz w:val="24"/>
          <w:szCs w:val="24"/>
        </w:rPr>
      </w:pP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w:t>
      </w:r>
      <w:proofErr w:type="gramStart"/>
      <w:r w:rsidR="00637483" w:rsidRPr="00637483">
        <w:rPr>
          <w:rFonts w:ascii="Times New Roman" w:eastAsia="Times New Roman" w:hAnsi="Times New Roman" w:cs="Times New Roman"/>
          <w:sz w:val="24"/>
          <w:szCs w:val="24"/>
          <w:lang w:eastAsia="ru-RU"/>
        </w:rPr>
        <w:t>о-</w:t>
      </w:r>
      <w:proofErr w:type="gramEnd"/>
      <w:r w:rsidR="00637483" w:rsidRPr="00637483">
        <w:rPr>
          <w:rFonts w:ascii="Times New Roman" w:eastAsia="Times New Roman" w:hAnsi="Times New Roman" w:cs="Times New Roman"/>
          <w:sz w:val="24"/>
          <w:szCs w:val="24"/>
          <w:lang w:eastAsia="ru-RU"/>
        </w:rPr>
        <w:t xml:space="preserve">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637483" w:rsidRPr="00637483">
        <w:rPr>
          <w:rFonts w:ascii="Times New Roman" w:eastAsia="Times New Roman" w:hAnsi="Times New Roman" w:cs="Times New Roman"/>
          <w:sz w:val="24"/>
          <w:szCs w:val="24"/>
          <w:lang w:eastAsia="ru-RU"/>
        </w:rPr>
        <w:t>Агроинженерия</w:t>
      </w:r>
      <w:proofErr w:type="spellEnd"/>
      <w:r w:rsidR="00637483" w:rsidRPr="00637483">
        <w:rPr>
          <w:rFonts w:ascii="Times New Roman" w:eastAsia="Times New Roman" w:hAnsi="Times New Roman" w:cs="Times New Roman"/>
          <w:sz w:val="24"/>
          <w:szCs w:val="24"/>
          <w:lang w:eastAsia="ru-RU"/>
        </w:rPr>
        <w:t>»</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103BBE" w:rsidRPr="00C62CA4" w:rsidRDefault="00C53BCE" w:rsidP="00C53BCE">
      <w:pPr>
        <w:widowControl w:val="0"/>
        <w:tabs>
          <w:tab w:val="left" w:pos="0"/>
          <w:tab w:val="left" w:pos="734"/>
        </w:tabs>
        <w:autoSpaceDE w:val="0"/>
        <w:autoSpaceDN w:val="0"/>
        <w:adjustRightInd w:val="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6E1C5F" w:rsidP="00C53BC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0E3E9C" w:rsidRDefault="00163F49" w:rsidP="00163F49">
      <w:pPr>
        <w:tabs>
          <w:tab w:val="left" w:pos="709"/>
        </w:tabs>
        <w:spacing w:after="0" w:line="240" w:lineRule="auto"/>
        <w:ind w:firstLine="708"/>
        <w:jc w:val="both"/>
        <w:rPr>
          <w:rFonts w:ascii="Times New Roman" w:hAnsi="Times New Roman" w:cs="Times New Roman"/>
          <w:sz w:val="24"/>
          <w:szCs w:val="24"/>
        </w:rPr>
      </w:pPr>
      <w:r w:rsidRPr="00163F49">
        <w:rPr>
          <w:rFonts w:ascii="Times New Roman" w:hAnsi="Times New Roman" w:cs="Times New Roman"/>
          <w:sz w:val="24"/>
          <w:szCs w:val="24"/>
        </w:rPr>
        <w:t>6</w:t>
      </w:r>
      <w:r w:rsidRPr="00192838">
        <w:rPr>
          <w:rFonts w:ascii="Times New Roman" w:hAnsi="Times New Roman" w:cs="Times New Roman"/>
          <w:b/>
          <w:sz w:val="24"/>
          <w:szCs w:val="24"/>
        </w:rPr>
        <w:t xml:space="preserve">. </w:t>
      </w:r>
      <w:r w:rsidRPr="00163F49">
        <w:rPr>
          <w:rFonts w:ascii="Times New Roman" w:hAnsi="Times New Roman" w:cs="Times New Roman"/>
          <w:sz w:val="24"/>
          <w:szCs w:val="24"/>
        </w:rPr>
        <w:t>Приём документов осуществляется по адресу:</w:t>
      </w:r>
      <w:r w:rsidRPr="000E3E9C">
        <w:rPr>
          <w:rFonts w:ascii="Times New Roman" w:hAnsi="Times New Roman" w:cs="Times New Roman"/>
          <w:sz w:val="24"/>
          <w:szCs w:val="24"/>
        </w:rPr>
        <w:t xml:space="preserve"> 167000, г. Сыктывкар, </w:t>
      </w:r>
      <w:r>
        <w:rPr>
          <w:rFonts w:ascii="Times New Roman" w:hAnsi="Times New Roman" w:cs="Times New Roman"/>
          <w:sz w:val="24"/>
          <w:szCs w:val="24"/>
        </w:rPr>
        <w:t xml:space="preserve">                                       </w:t>
      </w:r>
      <w:r w:rsidRPr="000E3E9C">
        <w:rPr>
          <w:rFonts w:ascii="Times New Roman" w:hAnsi="Times New Roman" w:cs="Times New Roman"/>
          <w:sz w:val="24"/>
          <w:szCs w:val="24"/>
        </w:rPr>
        <w:t xml:space="preserve">ул. </w:t>
      </w:r>
      <w:proofErr w:type="gramStart"/>
      <w:r w:rsidRPr="000E3E9C">
        <w:rPr>
          <w:rFonts w:ascii="Times New Roman" w:hAnsi="Times New Roman" w:cs="Times New Roman"/>
          <w:sz w:val="24"/>
          <w:szCs w:val="24"/>
        </w:rPr>
        <w:t>Советская</w:t>
      </w:r>
      <w:proofErr w:type="gramEnd"/>
      <w:r w:rsidRPr="000E3E9C">
        <w:rPr>
          <w:rFonts w:ascii="Times New Roman" w:hAnsi="Times New Roman" w:cs="Times New Roman"/>
          <w:sz w:val="24"/>
          <w:szCs w:val="24"/>
        </w:rPr>
        <w:t xml:space="preserve">, д.67, каб.415,  контактный телефон 8 (8212) 20-62-83, </w:t>
      </w:r>
      <w:r w:rsidRPr="000E3E9C">
        <w:rPr>
          <w:rFonts w:ascii="Times New Roman" w:hAnsi="Times New Roman" w:cs="Times New Roman"/>
          <w:sz w:val="24"/>
          <w:szCs w:val="24"/>
          <w:lang w:val="en-US"/>
        </w:rPr>
        <w:t>e</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mail</w:t>
      </w:r>
      <w:r w:rsidRPr="000E3E9C">
        <w:rPr>
          <w:rFonts w:ascii="Times New Roman" w:hAnsi="Times New Roman" w:cs="Times New Roman"/>
          <w:sz w:val="24"/>
          <w:szCs w:val="24"/>
        </w:rPr>
        <w:t xml:space="preserve">: </w:t>
      </w:r>
      <w:proofErr w:type="spellStart"/>
      <w:r w:rsidRPr="000E3E9C">
        <w:rPr>
          <w:rFonts w:ascii="Times New Roman" w:hAnsi="Times New Roman" w:cs="Times New Roman"/>
          <w:sz w:val="24"/>
          <w:szCs w:val="24"/>
          <w:lang w:val="en-US"/>
        </w:rPr>
        <w:t>kadry</w:t>
      </w:r>
      <w:proofErr w:type="spellEnd"/>
      <w:r w:rsidRPr="000E3E9C">
        <w:rPr>
          <w:rFonts w:ascii="Times New Roman" w:hAnsi="Times New Roman" w:cs="Times New Roman"/>
          <w:sz w:val="24"/>
          <w:szCs w:val="24"/>
        </w:rPr>
        <w:t>@</w:t>
      </w:r>
      <w:proofErr w:type="spellStart"/>
      <w:r w:rsidRPr="000E3E9C">
        <w:rPr>
          <w:rFonts w:ascii="Times New Roman" w:hAnsi="Times New Roman" w:cs="Times New Roman"/>
          <w:sz w:val="24"/>
          <w:szCs w:val="24"/>
          <w:lang w:val="en-US"/>
        </w:rPr>
        <w:t>pech</w:t>
      </w:r>
      <w:proofErr w:type="spellEnd"/>
      <w:r w:rsidRPr="000E3E9C">
        <w:rPr>
          <w:rFonts w:ascii="Times New Roman" w:hAnsi="Times New Roman" w:cs="Times New Roman"/>
          <w:sz w:val="24"/>
          <w:szCs w:val="24"/>
        </w:rPr>
        <w:t>.</w:t>
      </w:r>
      <w:proofErr w:type="spellStart"/>
      <w:r w:rsidRPr="000E3E9C">
        <w:rPr>
          <w:rFonts w:ascii="Times New Roman" w:hAnsi="Times New Roman" w:cs="Times New Roman"/>
          <w:sz w:val="24"/>
          <w:szCs w:val="24"/>
          <w:lang w:val="en-US"/>
        </w:rPr>
        <w:t>gosnadzor</w:t>
      </w:r>
      <w:proofErr w:type="spellEnd"/>
      <w:r w:rsidRPr="000E3E9C">
        <w:rPr>
          <w:rFonts w:ascii="Times New Roman" w:hAnsi="Times New Roman" w:cs="Times New Roman"/>
          <w:sz w:val="24"/>
          <w:szCs w:val="24"/>
        </w:rPr>
        <w:t>.</w:t>
      </w:r>
      <w:proofErr w:type="spellStart"/>
      <w:r w:rsidRPr="000E3E9C">
        <w:rPr>
          <w:rFonts w:ascii="Times New Roman" w:hAnsi="Times New Roman" w:cs="Times New Roman"/>
          <w:sz w:val="24"/>
          <w:szCs w:val="24"/>
          <w:lang w:val="en-US"/>
        </w:rPr>
        <w:t>ru</w:t>
      </w:r>
      <w:proofErr w:type="spellEnd"/>
      <w:r w:rsidRPr="000E3E9C">
        <w:rPr>
          <w:rFonts w:ascii="Times New Roman" w:hAnsi="Times New Roman" w:cs="Times New Roman"/>
          <w:sz w:val="24"/>
          <w:szCs w:val="24"/>
        </w:rPr>
        <w:t>.</w:t>
      </w:r>
    </w:p>
    <w:p w:rsidR="00163F49" w:rsidRPr="000E3E9C" w:rsidRDefault="00163F49" w:rsidP="00163F49">
      <w:pPr>
        <w:spacing w:after="0" w:line="240" w:lineRule="auto"/>
        <w:ind w:firstLine="708"/>
        <w:jc w:val="both"/>
        <w:rPr>
          <w:rFonts w:ascii="Times New Roman" w:hAnsi="Times New Roman" w:cs="Times New Roman"/>
          <w:sz w:val="24"/>
          <w:szCs w:val="24"/>
        </w:rPr>
      </w:pPr>
      <w:r w:rsidRPr="000E3E9C">
        <w:rPr>
          <w:rFonts w:ascii="Times New Roman" w:hAnsi="Times New Roman" w:cs="Times New Roman"/>
          <w:sz w:val="24"/>
          <w:szCs w:val="24"/>
        </w:rPr>
        <w:t>Начало приёма документов для участия в конкурсе в 09 ч. 00 мин.</w:t>
      </w:r>
    </w:p>
    <w:p w:rsidR="00163F49" w:rsidRPr="002E0A49" w:rsidRDefault="00163F49" w:rsidP="00163F49">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09 сентября 2019</w:t>
      </w:r>
      <w:r w:rsidRPr="000E3E9C">
        <w:rPr>
          <w:rFonts w:ascii="Times New Roman" w:hAnsi="Times New Roman" w:cs="Times New Roman"/>
          <w:sz w:val="24"/>
          <w:szCs w:val="24"/>
          <w:u w:val="single"/>
        </w:rPr>
        <w:t xml:space="preserve"> г</w:t>
      </w:r>
      <w:r w:rsidRPr="000E3E9C">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30 сентября 2019</w:t>
      </w:r>
      <w:r w:rsidRPr="000E3E9C">
        <w:rPr>
          <w:rFonts w:ascii="Times New Roman" w:hAnsi="Times New Roman" w:cs="Times New Roman"/>
          <w:sz w:val="24"/>
          <w:szCs w:val="24"/>
          <w:u w:val="single"/>
        </w:rPr>
        <w:t xml:space="preserve"> г</w:t>
      </w:r>
      <w:r w:rsidRPr="000E3E9C">
        <w:rPr>
          <w:rFonts w:ascii="Times New Roman" w:hAnsi="Times New Roman" w:cs="Times New Roman"/>
          <w:sz w:val="24"/>
          <w:szCs w:val="24"/>
        </w:rPr>
        <w:t>.</w:t>
      </w:r>
    </w:p>
    <w:p w:rsidR="00163F49" w:rsidRPr="00074261" w:rsidRDefault="00163F49" w:rsidP="00163F49">
      <w:pPr>
        <w:spacing w:after="0" w:line="336" w:lineRule="atLeast"/>
        <w:rPr>
          <w:rFonts w:ascii="Times New Roman" w:eastAsia="Times New Roman" w:hAnsi="Times New Roman" w:cs="Times New Roman"/>
          <w:color w:val="000000"/>
          <w:sz w:val="24"/>
          <w:szCs w:val="24"/>
          <w:lang w:eastAsia="ru-RU"/>
        </w:rPr>
      </w:pPr>
      <w:r w:rsidRPr="00C62CA4">
        <w:rPr>
          <w:rFonts w:ascii="Times New Roman" w:hAnsi="Times New Roman" w:cs="Times New Roman"/>
          <w:sz w:val="24"/>
          <w:szCs w:val="24"/>
        </w:rPr>
        <w:t xml:space="preserve"> </w:t>
      </w:r>
      <w:r>
        <w:rPr>
          <w:rFonts w:ascii="Times New Roman" w:hAnsi="Times New Roman" w:cs="Times New Roman"/>
          <w:sz w:val="24"/>
          <w:szCs w:val="24"/>
        </w:rPr>
        <w:tab/>
      </w:r>
      <w:r w:rsidRPr="00C62CA4">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24 октября 2019</w:t>
      </w:r>
      <w:r w:rsidR="00074261">
        <w:rPr>
          <w:rFonts w:ascii="Times New Roman" w:eastAsia="Times New Roman" w:hAnsi="Times New Roman" w:cs="Times New Roman"/>
          <w:color w:val="000000"/>
          <w:sz w:val="24"/>
          <w:szCs w:val="24"/>
          <w:lang w:eastAsia="ru-RU"/>
        </w:rPr>
        <w:t xml:space="preserve"> года,</w:t>
      </w:r>
      <w:r w:rsidR="00074261" w:rsidRPr="00074261">
        <w:rPr>
          <w:rFonts w:ascii="Trebuchet MS" w:hAnsi="Trebuchet MS"/>
          <w:color w:val="000000"/>
          <w:sz w:val="20"/>
          <w:szCs w:val="20"/>
        </w:rPr>
        <w:t xml:space="preserve"> </w:t>
      </w:r>
      <w:r w:rsidR="00074261" w:rsidRPr="00074261">
        <w:rPr>
          <w:rFonts w:ascii="Times New Roman" w:hAnsi="Times New Roman" w:cs="Times New Roman"/>
          <w:color w:val="000000"/>
          <w:sz w:val="24"/>
          <w:szCs w:val="24"/>
        </w:rPr>
        <w:t>о точной дате, месте и времени проведения второго этапа конкурса будет сообщено дополнительно, не позднее, чем за 15 дней до его начала.</w:t>
      </w:r>
    </w:p>
    <w:p w:rsidR="006E1C5F" w:rsidRPr="006E1C5F" w:rsidRDefault="00163F49" w:rsidP="0007426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0E3E9C">
        <w:rPr>
          <w:rFonts w:ascii="Times New Roman" w:eastAsiaTheme="minorEastAsia" w:hAnsi="Times New Roman" w:cs="Times New Roman"/>
          <w:color w:val="000001"/>
          <w:sz w:val="24"/>
          <w:szCs w:val="24"/>
          <w:lang w:eastAsia="ru-RU"/>
        </w:rPr>
        <w:t>Документы принимаются ежедневно с 08.30 до 17.30</w:t>
      </w:r>
      <w:r>
        <w:rPr>
          <w:rFonts w:ascii="Times New Roman" w:eastAsiaTheme="minorEastAsia" w:hAnsi="Times New Roman" w:cs="Times New Roman"/>
          <w:color w:val="000001"/>
          <w:sz w:val="24"/>
          <w:szCs w:val="24"/>
          <w:lang w:eastAsia="ru-RU"/>
        </w:rPr>
        <w:t xml:space="preserve"> </w:t>
      </w:r>
      <w:proofErr w:type="gramStart"/>
      <w:r>
        <w:rPr>
          <w:rFonts w:ascii="Times New Roman" w:eastAsiaTheme="minorEastAsia" w:hAnsi="Times New Roman" w:cs="Times New Roman"/>
          <w:color w:val="000001"/>
          <w:sz w:val="24"/>
          <w:szCs w:val="24"/>
          <w:lang w:eastAsia="ru-RU"/>
        </w:rPr>
        <w:t xml:space="preserve">( </w:t>
      </w:r>
      <w:proofErr w:type="gramEnd"/>
      <w:r>
        <w:rPr>
          <w:rFonts w:ascii="Times New Roman" w:eastAsiaTheme="minorEastAsia" w:hAnsi="Times New Roman" w:cs="Times New Roman"/>
          <w:color w:val="000001"/>
          <w:sz w:val="24"/>
          <w:szCs w:val="24"/>
          <w:lang w:eastAsia="ru-RU"/>
        </w:rPr>
        <w:t>понедельник-четверг)</w:t>
      </w:r>
      <w:r w:rsidRPr="000E3E9C">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с 08.30 до 12</w:t>
      </w:r>
      <w:r w:rsidRPr="000E3E9C">
        <w:rPr>
          <w:rFonts w:ascii="Times New Roman" w:eastAsiaTheme="minorEastAsia" w:hAnsi="Times New Roman" w:cs="Times New Roman"/>
          <w:color w:val="000001"/>
          <w:sz w:val="24"/>
          <w:szCs w:val="24"/>
          <w:lang w:eastAsia="ru-RU"/>
        </w:rPr>
        <w:t>.30</w:t>
      </w:r>
      <w:r>
        <w:rPr>
          <w:rFonts w:ascii="Times New Roman" w:eastAsiaTheme="minorEastAsia" w:hAnsi="Times New Roman" w:cs="Times New Roman"/>
          <w:color w:val="000001"/>
          <w:sz w:val="24"/>
          <w:szCs w:val="24"/>
          <w:lang w:eastAsia="ru-RU"/>
        </w:rPr>
        <w:t xml:space="preserve"> ( пятница), </w:t>
      </w:r>
      <w:r w:rsidRPr="000E3E9C">
        <w:rPr>
          <w:rFonts w:ascii="Times New Roman" w:eastAsiaTheme="minorEastAsia" w:hAnsi="Times New Roman" w:cs="Times New Roman"/>
          <w:color w:val="000001"/>
          <w:sz w:val="24"/>
          <w:szCs w:val="24"/>
          <w:lang w:eastAsia="ru-RU"/>
        </w:rPr>
        <w:t xml:space="preserve">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xml:space="preserve">, заверенную нотариально или кадровой службой </w:t>
      </w:r>
      <w:r w:rsidR="00344CB6" w:rsidRPr="000E3E9C">
        <w:rPr>
          <w:color w:val="000000"/>
        </w:rPr>
        <w:lastRenderedPageBreak/>
        <w:t>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w:t>
      </w:r>
      <w:proofErr w:type="gramStart"/>
      <w:r w:rsidR="00853829" w:rsidRPr="000E3E9C">
        <w:rPr>
          <w:color w:val="000000"/>
        </w:rPr>
        <w:t>ы(</w:t>
      </w:r>
      <w:proofErr w:type="gramEnd"/>
      <w:r w:rsidR="00853829" w:rsidRPr="000E3E9C">
        <w:rPr>
          <w:color w:val="000000"/>
        </w:rPr>
        <w:t>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proofErr w:type="gramStart"/>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roofErr w:type="gramEnd"/>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lastRenderedPageBreak/>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w:t>
      </w:r>
      <w:r w:rsidRPr="00074261">
        <w:rPr>
          <w:rFonts w:ascii="Times New Roman" w:eastAsia="Times New Roman" w:hAnsi="Times New Roman" w:cs="Times New Roman"/>
          <w:color w:val="000000"/>
          <w:sz w:val="24"/>
          <w:szCs w:val="24"/>
          <w:lang w:eastAsia="ru-RU"/>
        </w:rPr>
        <w:lastRenderedPageBreak/>
        <w:t>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074261">
        <w:rPr>
          <w:rFonts w:ascii="Times New Roman" w:eastAsia="Times New Roman" w:hAnsi="Times New Roman" w:cs="Times New Roman"/>
          <w:color w:val="000000"/>
          <w:sz w:val="24"/>
          <w:szCs w:val="24"/>
          <w:lang w:eastAsia="ru-RU"/>
        </w:rPr>
        <w:t>,</w:t>
      </w:r>
      <w:proofErr w:type="gramEnd"/>
      <w:r w:rsidRPr="00074261">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B6" w:rsidRDefault="00D83CB6" w:rsidP="00223958">
      <w:pPr>
        <w:spacing w:after="0" w:line="240" w:lineRule="auto"/>
      </w:pPr>
      <w:r>
        <w:separator/>
      </w:r>
    </w:p>
  </w:endnote>
  <w:endnote w:type="continuationSeparator" w:id="0">
    <w:p w:rsidR="00D83CB6" w:rsidRDefault="00D83CB6"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B6" w:rsidRDefault="00D83CB6" w:rsidP="00223958">
      <w:pPr>
        <w:spacing w:after="0" w:line="240" w:lineRule="auto"/>
      </w:pPr>
      <w:r>
        <w:separator/>
      </w:r>
    </w:p>
  </w:footnote>
  <w:footnote w:type="continuationSeparator" w:id="0">
    <w:p w:rsidR="00D83CB6" w:rsidRDefault="00D83CB6"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74261"/>
    <w:rsid w:val="000754B4"/>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40309A"/>
    <w:rsid w:val="00416343"/>
    <w:rsid w:val="00442BAA"/>
    <w:rsid w:val="004575BC"/>
    <w:rsid w:val="004658A0"/>
    <w:rsid w:val="00484DF1"/>
    <w:rsid w:val="004C39C6"/>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A213B"/>
    <w:rsid w:val="008B04A9"/>
    <w:rsid w:val="008C01AD"/>
    <w:rsid w:val="008E08C8"/>
    <w:rsid w:val="00915C19"/>
    <w:rsid w:val="009623FB"/>
    <w:rsid w:val="009670AD"/>
    <w:rsid w:val="009B18E4"/>
    <w:rsid w:val="009E0083"/>
    <w:rsid w:val="009F46F6"/>
    <w:rsid w:val="00A23A95"/>
    <w:rsid w:val="00A37C7F"/>
    <w:rsid w:val="00A66A0A"/>
    <w:rsid w:val="00AA372C"/>
    <w:rsid w:val="00AB0D0C"/>
    <w:rsid w:val="00AB2F0E"/>
    <w:rsid w:val="00B05363"/>
    <w:rsid w:val="00B36FEF"/>
    <w:rsid w:val="00B87375"/>
    <w:rsid w:val="00B958F7"/>
    <w:rsid w:val="00BA0704"/>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202CA"/>
    <w:rsid w:val="00D26AD9"/>
    <w:rsid w:val="00D42A18"/>
    <w:rsid w:val="00D46372"/>
    <w:rsid w:val="00D83CB6"/>
    <w:rsid w:val="00D91D7F"/>
    <w:rsid w:val="00D92C12"/>
    <w:rsid w:val="00DF3BE2"/>
    <w:rsid w:val="00E1194E"/>
    <w:rsid w:val="00E155BD"/>
    <w:rsid w:val="00E24443"/>
    <w:rsid w:val="00E71DEA"/>
    <w:rsid w:val="00ED4EB2"/>
    <w:rsid w:val="00EE24B0"/>
    <w:rsid w:val="00EE373D"/>
    <w:rsid w:val="00F2264F"/>
    <w:rsid w:val="00F440F8"/>
    <w:rsid w:val="00F625FB"/>
    <w:rsid w:val="00F66756"/>
    <w:rsid w:val="00F96AA5"/>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A8A6-91A3-41ED-B0BB-F9C641ED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4620</Words>
  <Characters>26336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3</cp:revision>
  <cp:lastPrinted>2018-09-07T05:41:00Z</cp:lastPrinted>
  <dcterms:created xsi:type="dcterms:W3CDTF">2019-09-04T09:18:00Z</dcterms:created>
  <dcterms:modified xsi:type="dcterms:W3CDTF">2019-09-09T10:35:00Z</dcterms:modified>
</cp:coreProperties>
</file>