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40" w:rsidRDefault="00C83640" w:rsidP="00E71DEA">
      <w:pPr>
        <w:spacing w:after="0" w:line="240" w:lineRule="auto"/>
        <w:jc w:val="center"/>
        <w:rPr>
          <w:rFonts w:ascii="Times New Roman" w:hAnsi="Times New Roman" w:cs="Times New Roman"/>
          <w:b/>
          <w:sz w:val="28"/>
          <w:szCs w:val="28"/>
        </w:rPr>
      </w:pPr>
      <w:bookmarkStart w:id="0" w:name="_GoBack"/>
      <w:bookmarkEnd w:id="0"/>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BF292A">
      <w:pPr>
        <w:keepNext/>
        <w:keepLines/>
        <w:spacing w:after="0" w:line="240" w:lineRule="auto"/>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534AB1">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1" w:name="_Toc477362023"/>
      <w:bookmarkStart w:id="2" w:name="_Toc477362464"/>
      <w:bookmarkStart w:id="3" w:name="_Toc477431874"/>
      <w:bookmarkStart w:id="4" w:name="_Toc477434884"/>
      <w:bookmarkStart w:id="5" w:name="_Toc477447741"/>
      <w:bookmarkStart w:id="6" w:name="_Toc477819707"/>
      <w:bookmarkStart w:id="7" w:name="_Toc477865788"/>
      <w:bookmarkStart w:id="8" w:name="_Toc477886320"/>
      <w:bookmarkStart w:id="9" w:name="_Toc477953353"/>
      <w:bookmarkStart w:id="10" w:name="_Toc478032900"/>
      <w:bookmarkStart w:id="11" w:name="_Toc478038772"/>
      <w:bookmarkStart w:id="12" w:name="_Toc478047257"/>
      <w:bookmarkStart w:id="13" w:name="_Toc478120125"/>
      <w:bookmarkStart w:id="14" w:name="_Toc478120719"/>
      <w:bookmarkStart w:id="15" w:name="_Toc478124795"/>
      <w:bookmarkStart w:id="16" w:name="_Toc478125737"/>
      <w:bookmarkStart w:id="17" w:name="_Toc478417240"/>
      <w:bookmarkStart w:id="18" w:name="_Toc478906981"/>
      <w:bookmarkStart w:id="19"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534AB1" w:rsidRPr="00134758">
        <w:rPr>
          <w:rFonts w:ascii="Times New Roman" w:hAnsi="Times New Roman" w:cs="Times New Roman"/>
          <w:sz w:val="24"/>
          <w:szCs w:val="24"/>
        </w:rPr>
        <w:t>),  место прохождения службы -   г. Сыктывкар.</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не ниже уровня бакалавриата по направлению(-ям)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534AB1" w:rsidRPr="0035756A">
        <w:rPr>
          <w:rFonts w:ascii="Times New Roman" w:eastAsia="Calibri" w:hAnsi="Times New Roman" w:cs="Times New Roman"/>
          <w:sz w:val="24"/>
          <w:szCs w:val="24"/>
        </w:rPr>
        <w:t>«Техносферная безопасность», «Экология и природопользование»</w:t>
      </w:r>
      <w:r w:rsidR="00534AB1" w:rsidRPr="0035756A">
        <w:rPr>
          <w:rFonts w:ascii="Times New Roman" w:hAnsi="Times New Roman" w:cs="Times New Roman"/>
          <w:sz w:val="24"/>
          <w:szCs w:val="24"/>
        </w:rPr>
        <w:t xml:space="preserve">, </w:t>
      </w:r>
      <w:r w:rsidR="00BF292A" w:rsidRPr="00BF292A">
        <w:rPr>
          <w:rFonts w:ascii="Times New Roman" w:eastAsia="Calibri" w:hAnsi="Times New Roman" w:cs="Times New Roman"/>
          <w:sz w:val="24"/>
          <w:szCs w:val="24"/>
        </w:rPr>
        <w:t>«Архитектура», «Градостроительство», «Промышленное и гражданское строитель</w:t>
      </w:r>
      <w:r w:rsidR="00BF292A" w:rsidRPr="00BF292A">
        <w:rPr>
          <w:rFonts w:ascii="Times New Roman" w:eastAsia="Calibri" w:hAnsi="Times New Roman" w:cs="Times New Roman"/>
          <w:sz w:val="24"/>
          <w:szCs w:val="24"/>
        </w:rPr>
        <w:lastRenderedPageBreak/>
        <w:t>ство», «Строительство уникальных зданий и сооружений», «Проектирование зданий»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534AB1" w:rsidRPr="00BF292A">
        <w:rPr>
          <w:rFonts w:ascii="Times New Roman" w:eastAsia="Calibri" w:hAnsi="Times New Roman" w:cs="Times New Roman"/>
          <w:bCs/>
          <w:sz w:val="24"/>
          <w:szCs w:val="24"/>
        </w:rPr>
        <w:t xml:space="preserve">, </w:t>
      </w:r>
      <w:r w:rsidR="00534AB1" w:rsidRPr="00BF292A">
        <w:rPr>
          <w:rFonts w:ascii="Times New Roman" w:eastAsia="Calibri" w:hAnsi="Times New Roman" w:cs="Times New Roman"/>
          <w:color w:val="FF0000"/>
          <w:sz w:val="24"/>
          <w:szCs w:val="24"/>
        </w:rPr>
        <w:t xml:space="preserve"> </w:t>
      </w:r>
      <w:r w:rsidR="00534AB1" w:rsidRPr="00BF292A">
        <w:rPr>
          <w:rFonts w:ascii="Times New Roman" w:eastAsia="Calibri" w:hAnsi="Times New Roman" w:cs="Times New Roman"/>
          <w:sz w:val="24"/>
          <w:szCs w:val="24"/>
        </w:rPr>
        <w:t>или иные специальности</w:t>
      </w:r>
      <w:r w:rsidR="00534AB1" w:rsidRPr="00134758">
        <w:rPr>
          <w:rFonts w:ascii="Times New Roman" w:eastAsia="Calibri" w:hAnsi="Times New Roman" w:cs="Times New Roman"/>
          <w:sz w:val="24"/>
          <w:szCs w:val="24"/>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lastRenderedPageBreak/>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Градостроительный кодекс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РФ от 21 июля 1993 г. № 5485-1 «О государственной тайне»;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6 октября 1999 г. № 184-ФЗ «Об общих принципах организации законодательных (представительных) и исполнительных </w:t>
      </w:r>
      <w:r w:rsidRPr="00BC1B68">
        <w:rPr>
          <w:rFonts w:ascii="Times New Roman" w:eastAsia="Times New Roman" w:hAnsi="Times New Roman" w:cs="Times New Roman"/>
          <w:color w:val="000000"/>
          <w:sz w:val="24"/>
          <w:szCs w:val="24"/>
          <w:lang w:eastAsia="ru-RU"/>
        </w:rPr>
        <w:lastRenderedPageBreak/>
        <w:t>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 требованиях пожарной безопасности»;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 xml:space="preserve">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 xml:space="preserve">Федеральный закон от 30 декабря 2009 г. № 384-ФЗ «Технический регламент о безопасности зданий и сооружений»; </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BC1B68" w:rsidRPr="00BC1B68" w:rsidRDefault="00BC1B68" w:rsidP="00BC1B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 февраля 2006 г. № 54 «О государственном строительном надзоре в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25 апреля 2012 г. № 390 «О противопожарном режиме»;</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25 августа 2012 г.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22 ноября 2012 г. № 1202 «Об утверждении Положения о государственном надзоре за деятельностью саморегулируемых организаций»;</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постановление Правительства Российской Федерации от 27 сентября 2016 г. № 970 «О требованиях к кредитным организациям, в которых до</w:t>
      </w:r>
      <w:r w:rsidRPr="00BC1B68">
        <w:rPr>
          <w:rFonts w:ascii="Times New Roman" w:eastAsia="Times New Roman" w:hAnsi="Times New Roman" w:cs="Times New Roman"/>
          <w:color w:val="000000"/>
          <w:sz w:val="24"/>
          <w:szCs w:val="24"/>
          <w:lang w:eastAsia="ru-RU"/>
        </w:rPr>
        <w:lastRenderedPageBreak/>
        <w:t>пускается размещать средства компенсационных фондов саморегулируемых организаций в области инженерных изысканий, архитектурно – строительного проектирования, строительства, реконструкции, капитального ремонта объектов капитального строительства»;</w:t>
      </w:r>
    </w:p>
    <w:p w:rsidR="00BC1B68" w:rsidRPr="00BC1B68" w:rsidRDefault="00BC1B68" w:rsidP="00BC1B68">
      <w:pPr>
        <w:spacing w:after="0" w:line="240" w:lineRule="auto"/>
        <w:ind w:firstLine="708"/>
        <w:jc w:val="both"/>
        <w:rPr>
          <w:rFonts w:ascii="Times New Roman" w:eastAsia="Times New Roman" w:hAnsi="Times New Roman" w:cs="Times New Roman"/>
          <w:color w:val="000000"/>
          <w:sz w:val="24"/>
          <w:szCs w:val="24"/>
          <w:lang w:eastAsia="ru-RU"/>
        </w:rPr>
      </w:pPr>
      <w:r w:rsidRPr="00BC1B68">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534AB1" w:rsidRPr="00534AB1" w:rsidRDefault="00534AB1" w:rsidP="00BC1B68">
      <w:pPr>
        <w:pStyle w:val="a3"/>
        <w:spacing w:before="0" w:beforeAutospacing="0" w:after="0" w:afterAutospacing="0"/>
        <w:ind w:firstLine="708"/>
        <w:jc w:val="both"/>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lastRenderedPageBreak/>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4A24FC">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4A24FC" w:rsidRPr="004A24FC" w:rsidRDefault="004A24FC" w:rsidP="004A24FC">
      <w:pPr>
        <w:spacing w:after="0" w:line="240" w:lineRule="auto"/>
        <w:ind w:firstLine="708"/>
        <w:jc w:val="both"/>
        <w:rPr>
          <w:rFonts w:ascii="Times New Roman" w:hAnsi="Times New Roman" w:cs="Times New Roman"/>
          <w:color w:val="000000"/>
          <w:sz w:val="24"/>
          <w:szCs w:val="24"/>
        </w:rPr>
      </w:pPr>
      <w:r w:rsidRPr="004A24FC">
        <w:rPr>
          <w:rFonts w:ascii="Times New Roman" w:hAnsi="Times New Roman" w:cs="Times New Roman"/>
          <w:color w:val="000000"/>
          <w:sz w:val="24"/>
          <w:szCs w:val="24"/>
        </w:rPr>
        <w:t>- о</w:t>
      </w:r>
      <w:r>
        <w:rPr>
          <w:rFonts w:ascii="Times New Roman" w:eastAsia="Times New Roman" w:hAnsi="Times New Roman" w:cs="Times New Roman"/>
          <w:color w:val="000000"/>
          <w:sz w:val="24"/>
          <w:szCs w:val="24"/>
          <w:lang w:eastAsia="ru-RU"/>
        </w:rPr>
        <w:t>существление</w:t>
      </w:r>
      <w:r w:rsidRPr="004A24FC">
        <w:rPr>
          <w:rFonts w:ascii="Times New Roman" w:eastAsia="Times New Roman" w:hAnsi="Times New Roman" w:cs="Times New Roman"/>
          <w:color w:val="000000"/>
          <w:sz w:val="24"/>
          <w:szCs w:val="24"/>
          <w:lang w:eastAsia="ru-RU"/>
        </w:rPr>
        <w:t xml:space="preserve"> государственного строительного надзора при строительстве, реконструкции поднадзорных объектов капитального строительства путем проведения в порядке, установленном действующим законодательством проверок соответствия выполняемых работ, проводимых в процессе строительства, реконструкции объектов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 в порядке, установленном Правительством Российской Федерации.</w:t>
      </w:r>
    </w:p>
    <w:p w:rsidR="004A24FC" w:rsidRPr="004A24FC" w:rsidRDefault="004A24FC" w:rsidP="004A24FC">
      <w:pPr>
        <w:tabs>
          <w:tab w:val="left" w:pos="709"/>
        </w:tabs>
        <w:spacing w:after="0" w:line="336" w:lineRule="atLeast"/>
        <w:rPr>
          <w:rFonts w:ascii="Times New Roman" w:eastAsia="Times New Roman" w:hAnsi="Times New Roman" w:cs="Times New Roman"/>
          <w:color w:val="000000"/>
          <w:sz w:val="24"/>
          <w:szCs w:val="24"/>
          <w:lang w:eastAsia="ru-RU"/>
        </w:rPr>
      </w:pPr>
      <w:r w:rsidRPr="004A24FC">
        <w:rPr>
          <w:rFonts w:ascii="Times New Roman" w:eastAsia="Times New Roman" w:hAnsi="Times New Roman" w:cs="Times New Roman"/>
          <w:color w:val="000000"/>
          <w:sz w:val="24"/>
          <w:szCs w:val="24"/>
          <w:lang w:eastAsia="ru-RU"/>
        </w:rPr>
        <w:t xml:space="preserve"> </w:t>
      </w:r>
      <w:r w:rsidRPr="004A24FC">
        <w:rPr>
          <w:rFonts w:ascii="Times New Roman" w:eastAsia="Times New Roman" w:hAnsi="Times New Roman" w:cs="Times New Roman"/>
          <w:color w:val="000000"/>
          <w:sz w:val="24"/>
          <w:szCs w:val="24"/>
          <w:lang w:eastAsia="ru-RU"/>
        </w:rPr>
        <w:tab/>
        <w:t xml:space="preserve">- участие в подготовке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w:t>
      </w:r>
      <w:r w:rsidRPr="004A24FC">
        <w:rPr>
          <w:rFonts w:ascii="Times New Roman" w:eastAsia="Times New Roman" w:hAnsi="Times New Roman" w:cs="Times New Roman"/>
          <w:color w:val="000000"/>
          <w:sz w:val="24"/>
          <w:szCs w:val="24"/>
          <w:lang w:eastAsia="ru-RU"/>
        </w:rPr>
        <w:lastRenderedPageBreak/>
        <w:t>объекта капитального строительства приборами учета используемых энергетических ресурсов, либо решения об отказе в выдаче такого заключения.</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001D0AFE"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Советская,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r w:rsidRPr="00BA30AB">
        <w:rPr>
          <w:rFonts w:ascii="Times New Roman" w:hAnsi="Times New Roman" w:cs="Times New Roman"/>
          <w:sz w:val="24"/>
          <w:szCs w:val="24"/>
          <w:lang w:val="en-US"/>
        </w:rPr>
        <w:t>kadry</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pech</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gosnadzor</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ru</w:t>
      </w:r>
      <w:r w:rsidRPr="00BA30AB">
        <w:rPr>
          <w:rFonts w:ascii="Times New Roman" w:hAnsi="Times New Roman" w:cs="Times New Roman"/>
          <w:sz w:val="24"/>
          <w:szCs w:val="24"/>
        </w:rPr>
        <w:t>.</w:t>
      </w:r>
    </w:p>
    <w:p w:rsidR="00163F49" w:rsidRDefault="00163F49" w:rsidP="001D0AFE">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sidR="001D0AFE">
        <w:rPr>
          <w:rFonts w:ascii="Times New Roman" w:hAnsi="Times New Roman" w:cs="Times New Roman"/>
          <w:sz w:val="24"/>
          <w:szCs w:val="24"/>
        </w:rPr>
        <w:t xml:space="preserve"> </w:t>
      </w:r>
      <w:r w:rsidR="00BC1B68">
        <w:rPr>
          <w:rFonts w:ascii="Times New Roman" w:hAnsi="Times New Roman" w:cs="Times New Roman"/>
          <w:sz w:val="24"/>
          <w:szCs w:val="24"/>
          <w:u w:val="single"/>
        </w:rPr>
        <w:t>28 января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BC1B68">
        <w:rPr>
          <w:rFonts w:ascii="Times New Roman" w:hAnsi="Times New Roman" w:cs="Times New Roman"/>
          <w:sz w:val="24"/>
          <w:szCs w:val="24"/>
          <w:u w:val="single"/>
        </w:rPr>
        <w:t>17 февраля</w:t>
      </w:r>
      <w:r w:rsidR="00B03148">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C1B68" w:rsidRPr="00BC1B68" w:rsidRDefault="00BC1B68" w:rsidP="00BA30AB">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sidR="001D0AFE">
        <w:rPr>
          <w:rFonts w:ascii="Times New Roman" w:hAnsi="Times New Roman" w:cs="Times New Roman"/>
          <w:color w:val="000000"/>
          <w:sz w:val="24"/>
          <w:szCs w:val="24"/>
        </w:rPr>
        <w:t xml:space="preserve"> принимаются                 с 02:00 «28» января 2020 г. по 24:00 «17» февраля 2020</w:t>
      </w:r>
      <w:r w:rsidRPr="00BC1B68">
        <w:rPr>
          <w:rFonts w:ascii="Times New Roman" w:hAnsi="Times New Roman" w:cs="Times New Roman"/>
          <w:color w:val="000000"/>
          <w:sz w:val="24"/>
          <w:szCs w:val="24"/>
        </w:rPr>
        <w:t xml:space="preserve"> г.</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lastRenderedPageBreak/>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4B0158">
        <w:rPr>
          <w:rFonts w:ascii="Times New Roman" w:eastAsia="Times New Roman" w:hAnsi="Times New Roman" w:cs="Times New Roman"/>
          <w:color w:val="000000"/>
          <w:sz w:val="24"/>
          <w:szCs w:val="24"/>
          <w:lang w:eastAsia="ru-RU"/>
        </w:rPr>
        <w:t>онк</w:t>
      </w:r>
      <w:r w:rsidR="001D0AFE">
        <w:rPr>
          <w:rFonts w:ascii="Times New Roman" w:eastAsia="Times New Roman" w:hAnsi="Times New Roman" w:cs="Times New Roman"/>
          <w:color w:val="000000"/>
          <w:sz w:val="24"/>
          <w:szCs w:val="24"/>
          <w:lang w:eastAsia="ru-RU"/>
        </w:rPr>
        <w:t>урс будет проводиться 11 марта</w:t>
      </w:r>
      <w:r w:rsidR="004B0158">
        <w:rPr>
          <w:rFonts w:ascii="Times New Roman" w:eastAsia="Times New Roman" w:hAnsi="Times New Roman" w:cs="Times New Roman"/>
          <w:color w:val="000000"/>
          <w:sz w:val="24"/>
          <w:szCs w:val="24"/>
          <w:lang w:eastAsia="ru-RU"/>
        </w:rPr>
        <w:t xml:space="preserve"> 2020</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lastRenderedPageBreak/>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lastRenderedPageBreak/>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об имуществе и обязательствах 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lastRenderedPageBreak/>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РФ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w:t>
      </w:r>
      <w:r w:rsidRPr="00BA30AB">
        <w:rPr>
          <w:rFonts w:ascii="Times New Roman" w:eastAsia="Times New Roman" w:hAnsi="Times New Roman" w:cs="Times New Roman"/>
          <w:color w:val="000000"/>
          <w:sz w:val="24"/>
          <w:szCs w:val="24"/>
          <w:lang w:eastAsia="ru-RU"/>
        </w:rPr>
        <w:lastRenderedPageBreak/>
        <w:t>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w:t>
      </w:r>
      <w:r w:rsidRPr="00BA30AB">
        <w:rPr>
          <w:rFonts w:ascii="Times New Roman" w:eastAsia="Times New Roman" w:hAnsi="Times New Roman" w:cs="Times New Roman"/>
          <w:color w:val="000000"/>
          <w:sz w:val="24"/>
          <w:szCs w:val="24"/>
          <w:lang w:eastAsia="ru-RU"/>
        </w:rPr>
        <w:lastRenderedPageBreak/>
        <w:t>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w:t>
      </w:r>
      <w:r w:rsidRPr="00BA30AB">
        <w:rPr>
          <w:rFonts w:ascii="Times New Roman" w:eastAsia="Times New Roman" w:hAnsi="Times New Roman" w:cs="Times New Roman"/>
          <w:color w:val="000000"/>
          <w:sz w:val="24"/>
          <w:szCs w:val="24"/>
          <w:lang w:eastAsia="ru-RU"/>
        </w:rPr>
        <w:lastRenderedPageBreak/>
        <w:t>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A7" w:rsidRDefault="007117A7" w:rsidP="00223958">
      <w:pPr>
        <w:spacing w:after="0" w:line="240" w:lineRule="auto"/>
      </w:pPr>
      <w:r>
        <w:separator/>
      </w:r>
    </w:p>
  </w:endnote>
  <w:endnote w:type="continuationSeparator" w:id="0">
    <w:p w:rsidR="007117A7" w:rsidRDefault="007117A7"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A7" w:rsidRDefault="007117A7" w:rsidP="00223958">
      <w:pPr>
        <w:spacing w:after="0" w:line="240" w:lineRule="auto"/>
      </w:pPr>
      <w:r>
        <w:separator/>
      </w:r>
    </w:p>
  </w:footnote>
  <w:footnote w:type="continuationSeparator" w:id="0">
    <w:p w:rsidR="007117A7" w:rsidRDefault="007117A7"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D0AFE"/>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3BC9"/>
    <w:rsid w:val="00305C6E"/>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A24FC"/>
    <w:rsid w:val="004B0158"/>
    <w:rsid w:val="004C39C6"/>
    <w:rsid w:val="004F100C"/>
    <w:rsid w:val="00522275"/>
    <w:rsid w:val="005273D3"/>
    <w:rsid w:val="005338D0"/>
    <w:rsid w:val="00534AB1"/>
    <w:rsid w:val="00537693"/>
    <w:rsid w:val="005654B9"/>
    <w:rsid w:val="00573ACA"/>
    <w:rsid w:val="0059096D"/>
    <w:rsid w:val="005940FB"/>
    <w:rsid w:val="005C5812"/>
    <w:rsid w:val="005F7E22"/>
    <w:rsid w:val="006014D5"/>
    <w:rsid w:val="00627301"/>
    <w:rsid w:val="00637483"/>
    <w:rsid w:val="0064428B"/>
    <w:rsid w:val="00645FC0"/>
    <w:rsid w:val="00654EA9"/>
    <w:rsid w:val="00671A0A"/>
    <w:rsid w:val="0069242A"/>
    <w:rsid w:val="006C6968"/>
    <w:rsid w:val="006E1C5F"/>
    <w:rsid w:val="007043A1"/>
    <w:rsid w:val="007117A7"/>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7375"/>
    <w:rsid w:val="00B958F7"/>
    <w:rsid w:val="00BA0704"/>
    <w:rsid w:val="00BA30AB"/>
    <w:rsid w:val="00BA343C"/>
    <w:rsid w:val="00BC1B68"/>
    <w:rsid w:val="00BC22AB"/>
    <w:rsid w:val="00BC37E0"/>
    <w:rsid w:val="00BC6810"/>
    <w:rsid w:val="00BE1DE6"/>
    <w:rsid w:val="00BF2658"/>
    <w:rsid w:val="00BF292A"/>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1194E"/>
    <w:rsid w:val="00E155BD"/>
    <w:rsid w:val="00E24443"/>
    <w:rsid w:val="00E71DEA"/>
    <w:rsid w:val="00ED039E"/>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DFBB5-BECD-4ACE-9656-7614A0D7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4EB6-2153-4CAE-A6D8-48021F9B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2</cp:revision>
  <cp:lastPrinted>2018-09-07T05:41:00Z</cp:lastPrinted>
  <dcterms:created xsi:type="dcterms:W3CDTF">2020-01-27T13:54:00Z</dcterms:created>
  <dcterms:modified xsi:type="dcterms:W3CDTF">2020-01-27T13:54:00Z</dcterms:modified>
</cp:coreProperties>
</file>